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>svého domu. Děkujeme.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5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</w:t>
      </w:r>
      <w:r>
        <w:rPr>
          <w:rFonts w:ascii="Arial" w:hAnsi="Arial" w:cs="Arial"/>
          <w:sz w:val="24"/>
          <w:szCs w:val="24"/>
        </w:rPr>
        <w:lastRenderedPageBreak/>
        <w:t xml:space="preserve">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na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lastRenderedPageBreak/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Děkujeme občanům za spolupráci.</w:t>
      </w:r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>Více info najdete na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086C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o@hru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cetni@reznictvitynec.cz" TargetMode="External"/><Relationship Id="rId10" Type="http://schemas.openxmlformats.org/officeDocument/2006/relationships/hyperlink" Target="mailto:dso@hru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3670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2021-04-27T08:19:00Z</cp:lastPrinted>
  <dcterms:created xsi:type="dcterms:W3CDTF">2021-04-27T08:23:00Z</dcterms:created>
  <dcterms:modified xsi:type="dcterms:W3CDTF">2021-04-27T08:23:00Z</dcterms:modified>
</cp:coreProperties>
</file>